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default" w:ascii="仿宋_GB2312" w:hAnsi="仿宋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44"/>
          <w:szCs w:val="44"/>
          <w:lang w:val="en-US" w:eastAsia="zh-CN"/>
        </w:rPr>
        <w:t>2024年度鲤城区人力资源和社会保障局普法计划</w:t>
      </w:r>
    </w:p>
    <w:tbl>
      <w:tblPr>
        <w:tblStyle w:val="3"/>
        <w:tblW w:w="144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2641"/>
        <w:gridCol w:w="1525"/>
        <w:gridCol w:w="2300"/>
        <w:gridCol w:w="1713"/>
        <w:gridCol w:w="1200"/>
        <w:gridCol w:w="1612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26035</wp:posOffset>
                      </wp:positionV>
                      <wp:extent cx="1028700" cy="1066800"/>
                      <wp:effectExtent l="4445" t="4445" r="14605" b="14605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59815" y="2106930"/>
                                <a:ext cx="1028700" cy="1066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6pt;margin-top:2.05pt;height:84pt;width:81pt;z-index:251659264;mso-width-relative:page;mso-height-relative:page;" filled="f" stroked="t" coordsize="21600,21600" o:gfxdata="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C3VS4jYAAAACAEAAA8AAAAAAAAAAQAgAAAAOAAA&#10;AGRycy9kb3ducmV2LnhtbFBLAQIUABQAAAAIAIdO4kCnSYN78gEAAMQDAAAOAAAAAAAAAAEAIAAA&#10;AD0BAABkcnMvZTJvRG9jLnhtbFBLBQYAAAAABgAGAFkBAACh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   任务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41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机关内部学法活动</w:t>
            </w:r>
          </w:p>
        </w:tc>
        <w:tc>
          <w:tcPr>
            <w:tcW w:w="230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面对执法（服务、管理）对象及社会公共开展的普法活动</w:t>
            </w:r>
          </w:p>
        </w:tc>
        <w:tc>
          <w:tcPr>
            <w:tcW w:w="171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与其他部门联合开展的普法活动</w:t>
            </w:r>
          </w:p>
        </w:tc>
        <w:tc>
          <w:tcPr>
            <w:tcW w:w="120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线上或线下旁听庭审活动</w:t>
            </w:r>
          </w:p>
        </w:tc>
        <w:tc>
          <w:tcPr>
            <w:tcW w:w="34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法治宣传阵地建设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65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领导班子</w:t>
            </w:r>
          </w:p>
        </w:tc>
        <w:tc>
          <w:tcPr>
            <w:tcW w:w="15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部门工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作人员</w:t>
            </w:r>
          </w:p>
        </w:tc>
        <w:tc>
          <w:tcPr>
            <w:tcW w:w="23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已有阵地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拟建阵地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人社局</w:t>
            </w:r>
          </w:p>
        </w:tc>
        <w:tc>
          <w:tcPr>
            <w:tcW w:w="2641" w:type="dxa"/>
          </w:tcPr>
          <w:p>
            <w:pPr>
              <w:spacing w:line="300" w:lineRule="exact"/>
              <w:ind w:firstLine="210" w:firstLineChars="100"/>
              <w:rPr>
                <w:rFonts w:hint="eastAsia" w:ascii="方正仿宋简体" w:hAnsi="仿宋_GB2312" w:eastAsia="方正仿宋简体"/>
              </w:rPr>
            </w:pPr>
            <w:r>
              <w:rPr>
                <w:rFonts w:hint="eastAsia" w:ascii="方正仿宋简体" w:hAnsi="仿宋_GB2312" w:eastAsia="方正仿宋简体"/>
              </w:rPr>
              <w:t>①一季度学习宣传党的二十大精神、习近平新时代中国特色社会主义思想特别是习近平法治思想</w:t>
            </w:r>
            <w:r>
              <w:rPr>
                <w:rFonts w:hint="eastAsia" w:ascii="方正仿宋简体" w:hAnsi="仿宋_GB2312" w:eastAsia="方正仿宋简体"/>
                <w:lang w:eastAsia="zh-CN"/>
              </w:rPr>
              <w:t>；学习</w:t>
            </w:r>
            <w:r>
              <w:rPr>
                <w:rFonts w:hint="eastAsia" w:ascii="方正仿宋简体" w:hAnsi="仿宋_GB2312" w:eastAsia="方正仿宋简体"/>
              </w:rPr>
              <w:t>《</w:t>
            </w:r>
            <w:r>
              <w:rPr>
                <w:rFonts w:hint="eastAsia" w:ascii="方正仿宋简体" w:hAnsi="仿宋_GB2312" w:eastAsia="方正仿宋简体"/>
                <w:lang w:eastAsia="zh-CN"/>
              </w:rPr>
              <w:t>党史学习教育工作条例》；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textAlignment w:val="auto"/>
              <w:rPr>
                <w:rFonts w:hint="eastAsia" w:ascii="方正仿宋简体" w:hAnsi="仿宋_GB2312" w:eastAsia="方正仿宋简体"/>
              </w:rPr>
            </w:pPr>
            <w:r>
              <w:rPr>
                <w:rFonts w:hint="eastAsia" w:ascii="方正仿宋简体" w:hAnsi="仿宋_GB2312" w:eastAsia="方正仿宋简体"/>
              </w:rPr>
              <w:t>②二季度深入学习全国两会精神和省委、市委专题学习会议精神及《中华人民共和国劳动法》；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textAlignment w:val="auto"/>
              <w:rPr>
                <w:rFonts w:hint="eastAsia" w:ascii="方正仿宋简体" w:hAnsi="仿宋_GB2312" w:eastAsia="方正仿宋简体"/>
              </w:rPr>
            </w:pPr>
            <w:r>
              <w:rPr>
                <w:rFonts w:hint="eastAsia" w:ascii="方正仿宋简体" w:hAnsi="仿宋_GB2312" w:eastAsia="方正仿宋简体"/>
              </w:rPr>
              <w:t>③三季度学习</w:t>
            </w:r>
            <w:r>
              <w:rPr>
                <w:rFonts w:hint="eastAsia" w:ascii="方正仿宋简体" w:hAnsi="仿宋_GB2312" w:eastAsia="方正仿宋简体" w:cs="仿宋_GB2312"/>
                <w:szCs w:val="21"/>
              </w:rPr>
              <w:t>《</w:t>
            </w:r>
            <w:r>
              <w:rPr>
                <w:rFonts w:hint="eastAsia" w:ascii="方正仿宋简体" w:hAnsi="仿宋_GB2312" w:eastAsia="方正仿宋简体" w:cs="仿宋_GB2312"/>
                <w:szCs w:val="21"/>
                <w:lang w:eastAsia="zh-CN"/>
              </w:rPr>
              <w:t>中华人民共和国行政复议法</w:t>
            </w:r>
            <w:r>
              <w:rPr>
                <w:rFonts w:hint="eastAsia" w:ascii="方正仿宋简体" w:hAnsi="仿宋_GB2312" w:eastAsia="方正仿宋简体" w:cs="仿宋_GB2312"/>
                <w:szCs w:val="21"/>
              </w:rPr>
              <w:t>》</w:t>
            </w:r>
            <w:r>
              <w:rPr>
                <w:rFonts w:hint="eastAsia" w:ascii="方正仿宋简体" w:hAnsi="仿宋_GB2312" w:eastAsia="方正仿宋简体"/>
              </w:rPr>
              <w:t>《中华人民共和国反有组织犯罪法》《中华人民共和国安全生产法》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21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仿宋_GB2312" w:eastAsia="方正仿宋简体"/>
              </w:rPr>
              <w:t>④四季度学习《中华人民共和国宪法》</w:t>
            </w:r>
          </w:p>
        </w:tc>
        <w:tc>
          <w:tcPr>
            <w:tcW w:w="15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textAlignment w:val="auto"/>
              <w:rPr>
                <w:rFonts w:hint="eastAsia" w:ascii="方正仿宋简体" w:hAnsi="仿宋_GB2312" w:eastAsia="方正仿宋简体" w:cs="仿宋_GB2312"/>
                <w:szCs w:val="21"/>
              </w:rPr>
            </w:pPr>
            <w:r>
              <w:rPr>
                <w:rFonts w:hint="eastAsia" w:ascii="方正仿宋简体" w:hAnsi="仿宋_GB2312" w:eastAsia="方正仿宋简体" w:cs="仿宋_GB2312"/>
                <w:szCs w:val="21"/>
                <w:lang w:eastAsia="zh-CN"/>
              </w:rPr>
              <w:t>上半年，</w:t>
            </w:r>
            <w:r>
              <w:rPr>
                <w:rFonts w:hint="eastAsia" w:ascii="方正仿宋简体" w:hAnsi="仿宋_GB2312" w:eastAsia="方正仿宋简体" w:cs="仿宋_GB2312"/>
                <w:szCs w:val="21"/>
              </w:rPr>
              <w:t>组织学习习近平法治思想；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21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仿宋_GB2312" w:eastAsia="方正仿宋简体" w:cs="仿宋_GB2312"/>
                <w:szCs w:val="21"/>
                <w:lang w:eastAsia="zh-CN"/>
              </w:rPr>
              <w:t>下半年，</w:t>
            </w:r>
            <w:r>
              <w:rPr>
                <w:rFonts w:hint="eastAsia" w:ascii="方正仿宋简体" w:hAnsi="仿宋_GB2312" w:eastAsia="方正仿宋简体" w:cs="仿宋_GB2312"/>
                <w:szCs w:val="21"/>
              </w:rPr>
              <w:t>组织学习</w:t>
            </w:r>
            <w:r>
              <w:rPr>
                <w:rFonts w:hint="eastAsia" w:ascii="方正仿宋简体" w:hAnsi="仿宋_GB2312" w:eastAsia="方正仿宋简体"/>
              </w:rPr>
              <w:t>《中华人民共和国宪法》</w:t>
            </w:r>
          </w:p>
        </w:tc>
        <w:tc>
          <w:tcPr>
            <w:tcW w:w="2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、</w:t>
            </w:r>
            <w:r>
              <w:rPr>
                <w:rFonts w:hint="eastAsia" w:ascii="仿宋" w:hAnsi="仿宋" w:eastAsia="仿宋"/>
              </w:rPr>
              <w:t>上半年，通过现场发放宣传资料宣传《</w:t>
            </w:r>
            <w:r>
              <w:rPr>
                <w:rFonts w:hint="eastAsia" w:ascii="仿宋" w:hAnsi="仿宋" w:eastAsia="仿宋"/>
                <w:lang w:eastAsia="zh-CN"/>
              </w:rPr>
              <w:t>中华人民共和国</w:t>
            </w:r>
            <w:r>
              <w:rPr>
                <w:rFonts w:hint="eastAsia" w:ascii="仿宋" w:hAnsi="仿宋" w:eastAsia="仿宋"/>
              </w:rPr>
              <w:t>社会保险法》等社会保险法律法规；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2、全年，通过进企业、进工地及分发宣传材料、</w:t>
            </w:r>
            <w:r>
              <w:rPr>
                <w:rFonts w:ascii="仿宋" w:hAnsi="仿宋" w:eastAsia="仿宋" w:cs="仿宋"/>
              </w:rPr>
              <w:t>LED</w:t>
            </w:r>
            <w:r>
              <w:rPr>
                <w:rFonts w:hint="eastAsia" w:ascii="仿宋" w:hAnsi="仿宋" w:eastAsia="仿宋" w:cs="仿宋"/>
              </w:rPr>
              <w:t>显示屏、宣传公告栏和悬挂横幅等方式进行《保障农民工工资支付条例》宣传；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21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3、全年，通过</w:t>
            </w:r>
            <w:r>
              <w:rPr>
                <w:rFonts w:hint="eastAsia" w:ascii="仿宋" w:hAnsi="仿宋" w:eastAsia="仿宋"/>
              </w:rPr>
              <w:t>现场发放宣传资料宣传</w:t>
            </w:r>
            <w:r>
              <w:rPr>
                <w:rFonts w:hint="eastAsia" w:ascii="仿宋" w:hAnsi="仿宋" w:eastAsia="仿宋"/>
                <w:lang w:eastAsia="zh-CN"/>
              </w:rPr>
              <w:t>《中华人民共和国</w:t>
            </w:r>
            <w:r>
              <w:rPr>
                <w:rFonts w:hint="eastAsia" w:ascii="仿宋" w:hAnsi="仿宋" w:eastAsia="仿宋"/>
              </w:rPr>
              <w:t>劳动法</w:t>
            </w:r>
            <w:r>
              <w:rPr>
                <w:rFonts w:hint="eastAsia" w:ascii="仿宋" w:hAnsi="仿宋" w:eastAsia="仿宋"/>
                <w:lang w:eastAsia="zh-CN"/>
              </w:rPr>
              <w:t>》《中华人民共和国</w:t>
            </w:r>
            <w:r>
              <w:rPr>
                <w:rFonts w:hint="eastAsia" w:ascii="仿宋" w:hAnsi="仿宋" w:eastAsia="仿宋"/>
              </w:rPr>
              <w:t>劳动合同法</w:t>
            </w:r>
            <w:r>
              <w:rPr>
                <w:rFonts w:hint="eastAsia" w:ascii="仿宋" w:hAnsi="仿宋" w:eastAsia="仿宋"/>
                <w:lang w:eastAsia="zh-CN"/>
              </w:rPr>
              <w:t>》等劳动保障方面的法律法规；</w:t>
            </w:r>
          </w:p>
        </w:tc>
        <w:tc>
          <w:tcPr>
            <w:tcW w:w="17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12月份联合区住建局、司法局等部门开展根治欠薪法治宣传活动</w:t>
            </w: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第三、四季度组织全体干部观看</w:t>
            </w:r>
            <w:r>
              <w:rPr>
                <w:rFonts w:hint="eastAsia" w:ascii="仿宋" w:hAnsi="仿宋" w:eastAsia="仿宋" w:cs="仿宋"/>
                <w:lang w:eastAsia="zh-CN"/>
              </w:rPr>
              <w:t>线上</w:t>
            </w:r>
            <w:r>
              <w:rPr>
                <w:rFonts w:hint="eastAsia" w:ascii="仿宋" w:hAnsi="仿宋" w:eastAsia="仿宋" w:cs="仿宋"/>
              </w:rPr>
              <w:t>庭审直播</w:t>
            </w:r>
          </w:p>
        </w:tc>
        <w:tc>
          <w:tcPr>
            <w:tcW w:w="16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鲤城区人社局网站（鲤城区人民政府门户网站的子网站）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F9C8D"/>
    <w:rsid w:val="EEDFAA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2024-04-09T02:07:00Z</dcterms:created>
  <dc:creator>岚洛寒</dc:creator>
  <cp:lastModifiedBy>user</cp:lastModifiedBy>
  <cp:lastPrinted>2024-04-12T06:53:00Z</cp:lastPrinted>
  <dcterms:modified xsi:type="dcterms:W3CDTF">2024-07-03T16:19:24Z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D0A0B27AFD7E40A0A963BCAF07031854_11</vt:lpwstr>
  </property>
</Properties>
</file>